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黑体" w:hAnsi="黑体" w:eastAsia="黑体" w:cs="黑体"/>
          <w:b w:val="0"/>
          <w:bCs w:val="0"/>
          <w:color w:val="333333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20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1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eastAsia="zh-CN"/>
        </w:rPr>
        <w:t>小店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eastAsia="zh-CN"/>
        </w:rPr>
        <w:t>镇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转移支付情况说明</w:t>
      </w:r>
    </w:p>
    <w:p>
      <w:pPr>
        <w:pStyle w:val="4"/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pStyle w:val="4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cs="Arial" w:asciiTheme="majorEastAsia" w:hAnsiTheme="majorEastAsia"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转移性收入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1326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万元，其中：上级补助收入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1326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专项转移支付收入包括：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一般公共服务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378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文化旅游体育与传媒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万元，社会保障和就业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10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万元，卫生健康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23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万元，节能环保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14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万元，城乡社区事务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64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农林水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711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灾害防治及应急管理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支出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万元。</w:t>
      </w: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autoHyphenation/>
  <w:compat>
    <w:balanceSingleByteDoubleByteWidth/>
    <w:doNotExpandShiftReturn/>
    <w:useFELayout/>
    <w:compatSetting w:name="compatibilityMode" w:uri="http://schemas.microsoft.com/office/word" w:val="12"/>
  </w:compat>
  <w:rsids>
    <w:rsidRoot w:val="00000000"/>
    <w:rsid w:val="193C38D1"/>
    <w:rsid w:val="3CED33BA"/>
    <w:rsid w:val="3E032A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hi-IN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133</Words>
  <Characters>157</Characters>
  <Paragraphs>2</Paragraphs>
  <TotalTime>38</TotalTime>
  <ScaleCrop>false</ScaleCrop>
  <LinksUpToDate>false</LinksUpToDate>
  <CharactersWithSpaces>166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2022-04-02T07:11:38Z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1348FCCFD70744B99256876D6B05F028</vt:lpwstr>
  </property>
  <property fmtid="{D5CDD505-2E9C-101B-9397-08002B2CF9AE}" pid="3" name="KSOProductBuildVer">
    <vt:lpwstr>2052-11.1.0.10314</vt:lpwstr>
  </property>
</Properties>
</file>